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Default="00401305" w:rsidP="0040130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DRAFT</w:t>
      </w:r>
    </w:p>
    <w:p w:rsidR="00401305" w:rsidRDefault="00401305" w:rsidP="00401305">
      <w:pPr>
        <w:jc w:val="center"/>
        <w:rPr>
          <w:b/>
          <w:sz w:val="40"/>
          <w:szCs w:val="40"/>
        </w:rPr>
      </w:pPr>
    </w:p>
    <w:p w:rsidR="00401305" w:rsidRDefault="00401305" w:rsidP="00401305">
      <w:pPr>
        <w:jc w:val="center"/>
        <w:rPr>
          <w:sz w:val="36"/>
          <w:szCs w:val="36"/>
        </w:rPr>
      </w:pPr>
      <w:r>
        <w:rPr>
          <w:sz w:val="36"/>
          <w:szCs w:val="36"/>
        </w:rPr>
        <w:t>House and Dock Rules</w:t>
      </w:r>
    </w:p>
    <w:p w:rsidR="00401305" w:rsidRDefault="00401305" w:rsidP="00401305">
      <w:pPr>
        <w:jc w:val="center"/>
        <w:rPr>
          <w:sz w:val="36"/>
          <w:szCs w:val="36"/>
        </w:rPr>
      </w:pPr>
      <w:r>
        <w:rPr>
          <w:sz w:val="36"/>
          <w:szCs w:val="36"/>
        </w:rPr>
        <w:t>(amendment)</w:t>
      </w:r>
    </w:p>
    <w:p w:rsidR="00401305" w:rsidRDefault="00401305" w:rsidP="00401305">
      <w:pPr>
        <w:rPr>
          <w:b/>
          <w:sz w:val="36"/>
          <w:szCs w:val="36"/>
        </w:rPr>
      </w:pPr>
      <w:r>
        <w:rPr>
          <w:b/>
          <w:sz w:val="36"/>
          <w:szCs w:val="36"/>
        </w:rPr>
        <w:t>Section II, Para 12, C</w:t>
      </w:r>
    </w:p>
    <w:p w:rsidR="00401305" w:rsidRDefault="00401305" w:rsidP="00401305">
      <w:pPr>
        <w:rPr>
          <w:b/>
          <w:sz w:val="36"/>
          <w:szCs w:val="36"/>
        </w:rPr>
      </w:pPr>
    </w:p>
    <w:p w:rsidR="00401305" w:rsidRDefault="00401305" w:rsidP="00401305">
      <w:pPr>
        <w:rPr>
          <w:sz w:val="36"/>
          <w:szCs w:val="36"/>
        </w:rPr>
      </w:pPr>
      <w:r>
        <w:rPr>
          <w:sz w:val="36"/>
          <w:szCs w:val="36"/>
        </w:rPr>
        <w:t>Payment for the slip is for the season (docks in to docks out).  If a boat is sold or removed from the slip for any reason, the club is not liable for any rebate.  Failure to fill the slip by July 1 of the current season, regardless of the slip fee payment, shall render the slip vacant.</w:t>
      </w:r>
    </w:p>
    <w:p w:rsidR="00401305" w:rsidRDefault="00401305" w:rsidP="00401305">
      <w:pPr>
        <w:rPr>
          <w:sz w:val="36"/>
          <w:szCs w:val="36"/>
        </w:rPr>
      </w:pPr>
    </w:p>
    <w:p w:rsidR="00401305" w:rsidRPr="00401305" w:rsidRDefault="00401305" w:rsidP="004013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DRAFT</w:t>
      </w:r>
    </w:p>
    <w:sectPr w:rsidR="00401305" w:rsidRPr="00401305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305"/>
    <w:rsid w:val="00255788"/>
    <w:rsid w:val="00401305"/>
    <w:rsid w:val="0073175B"/>
    <w:rsid w:val="00F3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306</Characters>
  <Application>Microsoft Office Word</Application>
  <DocSecurity>0</DocSecurity>
  <Lines>2</Lines>
  <Paragraphs>1</Paragraphs>
  <ScaleCrop>false</ScaleCrop>
  <Company>Toshiba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2</cp:revision>
  <dcterms:created xsi:type="dcterms:W3CDTF">2019-04-19T16:02:00Z</dcterms:created>
  <dcterms:modified xsi:type="dcterms:W3CDTF">2019-04-19T16:13:00Z</dcterms:modified>
</cp:coreProperties>
</file>