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C72" w:rsidRPr="009470DF" w:rsidRDefault="00D42C72" w:rsidP="004659BD">
      <w:pPr>
        <w:pStyle w:val="NoSpacing"/>
        <w:ind w:left="-270" w:right="-360"/>
        <w:jc w:val="center"/>
        <w:rPr>
          <w:b/>
          <w:sz w:val="48"/>
          <w:szCs w:val="48"/>
        </w:rPr>
      </w:pPr>
      <w:r w:rsidRPr="009470DF">
        <w:rPr>
          <w:b/>
          <w:sz w:val="48"/>
          <w:szCs w:val="48"/>
        </w:rPr>
        <w:t>PYC</w:t>
      </w:r>
    </w:p>
    <w:p w:rsidR="00D42C72" w:rsidRPr="006F1E05" w:rsidRDefault="00D42C72" w:rsidP="004659BD">
      <w:pPr>
        <w:pStyle w:val="NoSpacing"/>
        <w:ind w:left="-270" w:right="-360"/>
        <w:jc w:val="center"/>
        <w:rPr>
          <w:rFonts w:asciiTheme="minorHAnsi" w:hAnsiTheme="minorHAnsi"/>
          <w:b/>
          <w:sz w:val="28"/>
          <w:szCs w:val="28"/>
        </w:rPr>
      </w:pPr>
      <w:r w:rsidRPr="006F1E05">
        <w:rPr>
          <w:rFonts w:asciiTheme="minorHAnsi" w:hAnsiTheme="minorHAnsi"/>
          <w:b/>
          <w:sz w:val="28"/>
          <w:szCs w:val="28"/>
        </w:rPr>
        <w:t>Portsmouth Yacht Club</w:t>
      </w:r>
    </w:p>
    <w:p w:rsidR="00D42C72" w:rsidRPr="00491674" w:rsidRDefault="00D42C72" w:rsidP="004659BD">
      <w:pPr>
        <w:pStyle w:val="NoSpacing"/>
        <w:ind w:left="-270" w:right="-360"/>
        <w:rPr>
          <w:rFonts w:asciiTheme="minorHAnsi" w:hAnsiTheme="minorHAnsi"/>
          <w:b/>
          <w:szCs w:val="24"/>
        </w:rPr>
      </w:pPr>
      <w:r w:rsidRPr="00491674">
        <w:rPr>
          <w:rFonts w:asciiTheme="minorHAnsi" w:hAnsiTheme="minorHAnsi"/>
          <w:b/>
          <w:szCs w:val="24"/>
        </w:rPr>
        <w:t>Treasurer’s Report</w:t>
      </w:r>
    </w:p>
    <w:p w:rsidR="00D42C72" w:rsidRPr="004477A7" w:rsidRDefault="00485CE4" w:rsidP="00E036D6">
      <w:pPr>
        <w:pStyle w:val="NoSpacing"/>
        <w:ind w:left="-270" w:right="-360"/>
        <w:rPr>
          <w:rFonts w:asciiTheme="minorHAnsi" w:hAnsiTheme="minorHAnsi"/>
          <w:szCs w:val="24"/>
        </w:rPr>
      </w:pPr>
      <w:r>
        <w:rPr>
          <w:rFonts w:asciiTheme="minorHAnsi" w:hAnsiTheme="minorHAnsi"/>
          <w:szCs w:val="24"/>
        </w:rPr>
        <w:t>June 9</w:t>
      </w:r>
      <w:r w:rsidR="00C77065">
        <w:rPr>
          <w:rFonts w:asciiTheme="minorHAnsi" w:hAnsiTheme="minorHAnsi"/>
          <w:szCs w:val="24"/>
        </w:rPr>
        <w:t>, 2016</w:t>
      </w:r>
    </w:p>
    <w:p w:rsidR="006B589C" w:rsidRPr="00222843" w:rsidRDefault="006B589C" w:rsidP="00B27BE0">
      <w:pPr>
        <w:pStyle w:val="NoSpacing"/>
        <w:spacing w:before="120"/>
        <w:ind w:left="-274" w:right="-360"/>
        <w:rPr>
          <w:rFonts w:asciiTheme="minorHAnsi" w:hAnsiTheme="minorHAnsi"/>
          <w:b/>
          <w:szCs w:val="24"/>
        </w:rPr>
      </w:pPr>
      <w:r w:rsidRPr="00222843">
        <w:rPr>
          <w:rFonts w:asciiTheme="minorHAnsi" w:hAnsiTheme="minorHAnsi"/>
          <w:b/>
          <w:szCs w:val="24"/>
        </w:rPr>
        <w:t>Handouts:</w:t>
      </w:r>
    </w:p>
    <w:p w:rsidR="000F6941" w:rsidRDefault="00260F65" w:rsidP="000F6941">
      <w:pPr>
        <w:pStyle w:val="NoSpacing"/>
        <w:ind w:left="-270" w:right="-360"/>
        <w:rPr>
          <w:rFonts w:asciiTheme="minorHAnsi" w:hAnsiTheme="minorHAnsi"/>
          <w:szCs w:val="24"/>
        </w:rPr>
      </w:pPr>
      <w:r>
        <w:rPr>
          <w:rFonts w:asciiTheme="minorHAnsi" w:hAnsiTheme="minorHAnsi"/>
          <w:szCs w:val="24"/>
        </w:rPr>
        <w:t>2016 vs. 2015</w:t>
      </w:r>
      <w:r w:rsidR="000F6941">
        <w:rPr>
          <w:rFonts w:asciiTheme="minorHAnsi" w:hAnsiTheme="minorHAnsi"/>
          <w:szCs w:val="24"/>
        </w:rPr>
        <w:t xml:space="preserve"> Financial Statements</w:t>
      </w:r>
    </w:p>
    <w:p w:rsidR="001B63BE" w:rsidRPr="00956F29" w:rsidRDefault="001B63BE" w:rsidP="001B63BE">
      <w:pPr>
        <w:pStyle w:val="NoSpacing"/>
        <w:ind w:left="-270" w:right="-360"/>
        <w:rPr>
          <w:rFonts w:asciiTheme="minorHAnsi" w:hAnsiTheme="minorHAnsi"/>
          <w:sz w:val="8"/>
          <w:szCs w:val="8"/>
        </w:rPr>
      </w:pPr>
    </w:p>
    <w:p w:rsidR="00502729" w:rsidRPr="004477A7" w:rsidRDefault="00502729" w:rsidP="00502729">
      <w:pPr>
        <w:pStyle w:val="NoSpacing"/>
        <w:spacing w:before="120"/>
        <w:ind w:left="-274" w:right="-360"/>
        <w:rPr>
          <w:rFonts w:asciiTheme="minorHAnsi" w:hAnsiTheme="minorHAnsi"/>
          <w:b/>
          <w:szCs w:val="24"/>
        </w:rPr>
      </w:pPr>
      <w:r>
        <w:rPr>
          <w:rFonts w:asciiTheme="minorHAnsi" w:hAnsiTheme="minorHAnsi"/>
          <w:b/>
          <w:szCs w:val="24"/>
        </w:rPr>
        <w:t>Annual Meeting</w:t>
      </w:r>
      <w:r w:rsidRPr="004477A7">
        <w:rPr>
          <w:rFonts w:asciiTheme="minorHAnsi" w:hAnsiTheme="minorHAnsi"/>
          <w:b/>
          <w:szCs w:val="24"/>
        </w:rPr>
        <w:t>:</w:t>
      </w:r>
    </w:p>
    <w:p w:rsidR="00614A31" w:rsidRDefault="00502729" w:rsidP="00502729">
      <w:pPr>
        <w:pStyle w:val="NoSpacing"/>
        <w:ind w:left="-270" w:right="-360"/>
        <w:rPr>
          <w:rFonts w:asciiTheme="minorHAnsi" w:hAnsiTheme="minorHAnsi"/>
          <w:szCs w:val="24"/>
        </w:rPr>
      </w:pPr>
      <w:r>
        <w:rPr>
          <w:rFonts w:asciiTheme="minorHAnsi" w:hAnsiTheme="minorHAnsi"/>
          <w:szCs w:val="24"/>
        </w:rPr>
        <w:t>Last year at the annual meeting the membership approved an increase in dues</w:t>
      </w:r>
      <w:r>
        <w:rPr>
          <w:rFonts w:asciiTheme="minorHAnsi" w:hAnsiTheme="minorHAnsi"/>
          <w:szCs w:val="24"/>
        </w:rPr>
        <w:t xml:space="preserve">. </w:t>
      </w:r>
      <w:r w:rsidR="005661AD">
        <w:rPr>
          <w:rFonts w:asciiTheme="minorHAnsi" w:hAnsiTheme="minorHAnsi"/>
          <w:szCs w:val="24"/>
        </w:rPr>
        <w:t>I would recommend that the Board</w:t>
      </w:r>
      <w:r>
        <w:rPr>
          <w:rFonts w:asciiTheme="minorHAnsi" w:hAnsiTheme="minorHAnsi"/>
          <w:szCs w:val="24"/>
        </w:rPr>
        <w:t xml:space="preserve"> begin work now to implement an increase in the application fees</w:t>
      </w:r>
      <w:r w:rsidR="005661AD">
        <w:rPr>
          <w:rFonts w:asciiTheme="minorHAnsi" w:hAnsiTheme="minorHAnsi"/>
          <w:szCs w:val="24"/>
        </w:rPr>
        <w:t>. This</w:t>
      </w:r>
      <w:r>
        <w:rPr>
          <w:rFonts w:asciiTheme="minorHAnsi" w:hAnsiTheme="minorHAnsi"/>
          <w:szCs w:val="24"/>
        </w:rPr>
        <w:t xml:space="preserve"> requires membership approval. I would also recommend that the Board consider raising the fees for lockers, dinghy space, launch rides</w:t>
      </w:r>
      <w:r w:rsidR="00614A31">
        <w:rPr>
          <w:rFonts w:asciiTheme="minorHAnsi" w:hAnsiTheme="minorHAnsi"/>
          <w:szCs w:val="24"/>
        </w:rPr>
        <w:t>, moorings</w:t>
      </w:r>
      <w:r>
        <w:rPr>
          <w:rFonts w:asciiTheme="minorHAnsi" w:hAnsiTheme="minorHAnsi"/>
          <w:szCs w:val="24"/>
        </w:rPr>
        <w:t xml:space="preserve"> and</w:t>
      </w:r>
      <w:r w:rsidR="00614A31">
        <w:rPr>
          <w:rFonts w:asciiTheme="minorHAnsi" w:hAnsiTheme="minorHAnsi"/>
          <w:szCs w:val="24"/>
        </w:rPr>
        <w:t>/or</w:t>
      </w:r>
      <w:r>
        <w:rPr>
          <w:rFonts w:asciiTheme="minorHAnsi" w:hAnsiTheme="minorHAnsi"/>
          <w:szCs w:val="24"/>
        </w:rPr>
        <w:t xml:space="preserve"> seasonal slips. These can be raised by the Board without going before the membership. </w:t>
      </w:r>
      <w:r w:rsidR="005661AD">
        <w:rPr>
          <w:rFonts w:asciiTheme="minorHAnsi" w:hAnsiTheme="minorHAnsi"/>
          <w:szCs w:val="24"/>
        </w:rPr>
        <w:t xml:space="preserve">From an accounting point of view, the launch rides are particularly expensive to the club compared to their revenues. I am told the seasonal slips are also currently a real bargain compared to other local marinas. </w:t>
      </w:r>
    </w:p>
    <w:p w:rsidR="00614A31" w:rsidRPr="00242310" w:rsidRDefault="00614A31" w:rsidP="00502729">
      <w:pPr>
        <w:pStyle w:val="NoSpacing"/>
        <w:ind w:left="-270" w:right="-360"/>
        <w:rPr>
          <w:rFonts w:asciiTheme="minorHAnsi" w:hAnsiTheme="minorHAnsi"/>
          <w:sz w:val="8"/>
          <w:szCs w:val="8"/>
        </w:rPr>
      </w:pPr>
    </w:p>
    <w:tbl>
      <w:tblPr>
        <w:tblStyle w:val="TableGrid"/>
        <w:tblW w:w="0" w:type="auto"/>
        <w:tblInd w:w="-270" w:type="dxa"/>
        <w:tblLook w:val="04A0" w:firstRow="1" w:lastRow="0" w:firstColumn="1" w:lastColumn="0" w:noHBand="0" w:noVBand="1"/>
      </w:tblPr>
      <w:tblGrid>
        <w:gridCol w:w="2619"/>
        <w:gridCol w:w="2619"/>
        <w:gridCol w:w="2619"/>
        <w:gridCol w:w="2619"/>
      </w:tblGrid>
      <w:tr w:rsidR="00614A31" w:rsidRPr="00614A31" w:rsidTr="00614A31">
        <w:tc>
          <w:tcPr>
            <w:tcW w:w="2619" w:type="dxa"/>
          </w:tcPr>
          <w:p w:rsidR="00614A31" w:rsidRPr="00614A31" w:rsidRDefault="00614A31" w:rsidP="00502729">
            <w:pPr>
              <w:pStyle w:val="NoSpacing"/>
              <w:ind w:right="-360"/>
              <w:rPr>
                <w:rFonts w:asciiTheme="minorHAnsi" w:hAnsiTheme="minorHAnsi"/>
                <w:b/>
                <w:szCs w:val="24"/>
              </w:rPr>
            </w:pPr>
            <w:r w:rsidRPr="00614A31">
              <w:rPr>
                <w:rFonts w:asciiTheme="minorHAnsi" w:hAnsiTheme="minorHAnsi"/>
                <w:b/>
                <w:szCs w:val="24"/>
              </w:rPr>
              <w:t>Item</w:t>
            </w:r>
          </w:p>
        </w:tc>
        <w:tc>
          <w:tcPr>
            <w:tcW w:w="2619" w:type="dxa"/>
          </w:tcPr>
          <w:p w:rsidR="00614A31" w:rsidRPr="00614A31" w:rsidRDefault="00614A31" w:rsidP="00502729">
            <w:pPr>
              <w:pStyle w:val="NoSpacing"/>
              <w:ind w:right="-360"/>
              <w:rPr>
                <w:rFonts w:asciiTheme="minorHAnsi" w:hAnsiTheme="minorHAnsi"/>
                <w:b/>
                <w:szCs w:val="24"/>
              </w:rPr>
            </w:pPr>
            <w:r w:rsidRPr="00614A31">
              <w:rPr>
                <w:rFonts w:asciiTheme="minorHAnsi" w:hAnsiTheme="minorHAnsi"/>
                <w:b/>
                <w:szCs w:val="24"/>
              </w:rPr>
              <w:t>Current Annual Fee</w:t>
            </w:r>
          </w:p>
        </w:tc>
        <w:tc>
          <w:tcPr>
            <w:tcW w:w="2619" w:type="dxa"/>
          </w:tcPr>
          <w:p w:rsidR="00614A31" w:rsidRPr="00614A31" w:rsidRDefault="00614A31" w:rsidP="00502729">
            <w:pPr>
              <w:pStyle w:val="NoSpacing"/>
              <w:ind w:right="-360"/>
              <w:rPr>
                <w:rFonts w:asciiTheme="minorHAnsi" w:hAnsiTheme="minorHAnsi"/>
                <w:b/>
                <w:szCs w:val="24"/>
              </w:rPr>
            </w:pPr>
            <w:r w:rsidRPr="00614A31">
              <w:rPr>
                <w:rFonts w:asciiTheme="minorHAnsi" w:hAnsiTheme="minorHAnsi"/>
                <w:b/>
                <w:szCs w:val="24"/>
              </w:rPr>
              <w:t>Suggested  Annual Fee</w:t>
            </w:r>
          </w:p>
        </w:tc>
        <w:tc>
          <w:tcPr>
            <w:tcW w:w="2619" w:type="dxa"/>
          </w:tcPr>
          <w:p w:rsidR="00614A31" w:rsidRPr="00614A31" w:rsidRDefault="00614A31" w:rsidP="00502729">
            <w:pPr>
              <w:pStyle w:val="NoSpacing"/>
              <w:ind w:right="-360"/>
              <w:rPr>
                <w:rFonts w:asciiTheme="minorHAnsi" w:hAnsiTheme="minorHAnsi"/>
                <w:b/>
                <w:szCs w:val="24"/>
              </w:rPr>
            </w:pPr>
            <w:r w:rsidRPr="00614A31">
              <w:rPr>
                <w:rFonts w:asciiTheme="minorHAnsi" w:hAnsiTheme="minorHAnsi"/>
                <w:b/>
                <w:szCs w:val="24"/>
              </w:rPr>
              <w:t>Net Increase</w:t>
            </w:r>
          </w:p>
        </w:tc>
      </w:tr>
      <w:tr w:rsidR="00614A31" w:rsidTr="00614A31">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Locker</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$30</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$35</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$630</w:t>
            </w:r>
          </w:p>
        </w:tc>
      </w:tr>
      <w:tr w:rsidR="00614A31" w:rsidTr="00614A31">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Dinghy</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$70</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$80</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$220</w:t>
            </w:r>
          </w:p>
        </w:tc>
      </w:tr>
      <w:tr w:rsidR="00614A31" w:rsidTr="00614A31">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Launch Ride</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$100</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$150</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$1,750</w:t>
            </w:r>
          </w:p>
        </w:tc>
      </w:tr>
      <w:tr w:rsidR="00614A31" w:rsidTr="00614A31">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Mooring</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$1,400</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$1,500</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$400</w:t>
            </w:r>
          </w:p>
        </w:tc>
      </w:tr>
      <w:tr w:rsidR="00614A31" w:rsidTr="00614A31">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Seasonal Slip</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$60/foot</w:t>
            </w:r>
          </w:p>
        </w:tc>
        <w:tc>
          <w:tcPr>
            <w:tcW w:w="2619" w:type="dxa"/>
          </w:tcPr>
          <w:p w:rsidR="00614A31" w:rsidRDefault="00614A31" w:rsidP="00502729">
            <w:pPr>
              <w:pStyle w:val="NoSpacing"/>
              <w:ind w:right="-360"/>
              <w:rPr>
                <w:rFonts w:asciiTheme="minorHAnsi" w:hAnsiTheme="minorHAnsi"/>
                <w:szCs w:val="24"/>
              </w:rPr>
            </w:pPr>
            <w:r>
              <w:rPr>
                <w:rFonts w:asciiTheme="minorHAnsi" w:hAnsiTheme="minorHAnsi"/>
                <w:szCs w:val="24"/>
              </w:rPr>
              <w:t>$70</w:t>
            </w:r>
            <w:r w:rsidR="005661AD">
              <w:rPr>
                <w:rFonts w:asciiTheme="minorHAnsi" w:hAnsiTheme="minorHAnsi"/>
                <w:szCs w:val="24"/>
              </w:rPr>
              <w:t>/foot</w:t>
            </w:r>
          </w:p>
        </w:tc>
        <w:tc>
          <w:tcPr>
            <w:tcW w:w="2619" w:type="dxa"/>
          </w:tcPr>
          <w:p w:rsidR="00614A31" w:rsidRDefault="00614A31" w:rsidP="00502729">
            <w:pPr>
              <w:pStyle w:val="NoSpacing"/>
              <w:ind w:right="-360"/>
              <w:rPr>
                <w:rFonts w:asciiTheme="minorHAnsi" w:hAnsiTheme="minorHAnsi"/>
                <w:szCs w:val="24"/>
              </w:rPr>
            </w:pPr>
            <w:bookmarkStart w:id="0" w:name="_GoBack"/>
            <w:bookmarkEnd w:id="0"/>
            <w:r>
              <w:rPr>
                <w:rFonts w:asciiTheme="minorHAnsi" w:hAnsiTheme="minorHAnsi"/>
                <w:szCs w:val="24"/>
              </w:rPr>
              <w:t>$6,480</w:t>
            </w:r>
          </w:p>
        </w:tc>
      </w:tr>
    </w:tbl>
    <w:p w:rsidR="00434C5F" w:rsidRPr="004477A7" w:rsidRDefault="00180867" w:rsidP="00B27BE0">
      <w:pPr>
        <w:pStyle w:val="NoSpacing"/>
        <w:spacing w:before="120"/>
        <w:ind w:left="-274" w:right="-360"/>
        <w:rPr>
          <w:rFonts w:asciiTheme="minorHAnsi" w:hAnsiTheme="minorHAnsi"/>
          <w:b/>
          <w:szCs w:val="24"/>
        </w:rPr>
      </w:pPr>
      <w:r>
        <w:rPr>
          <w:rFonts w:asciiTheme="minorHAnsi" w:hAnsiTheme="minorHAnsi"/>
          <w:b/>
          <w:szCs w:val="24"/>
        </w:rPr>
        <w:t>Statement of Activities (</w:t>
      </w:r>
      <w:r w:rsidR="00434C5F" w:rsidRPr="004477A7">
        <w:rPr>
          <w:rFonts w:asciiTheme="minorHAnsi" w:hAnsiTheme="minorHAnsi"/>
          <w:b/>
          <w:szCs w:val="24"/>
        </w:rPr>
        <w:t>Income Statement</w:t>
      </w:r>
      <w:r>
        <w:rPr>
          <w:rFonts w:asciiTheme="minorHAnsi" w:hAnsiTheme="minorHAnsi"/>
          <w:b/>
          <w:szCs w:val="24"/>
        </w:rPr>
        <w:t>)</w:t>
      </w:r>
      <w:r w:rsidR="00434C5F" w:rsidRPr="004477A7">
        <w:rPr>
          <w:rFonts w:asciiTheme="minorHAnsi" w:hAnsiTheme="minorHAnsi"/>
          <w:b/>
          <w:szCs w:val="24"/>
        </w:rPr>
        <w:t>:</w:t>
      </w:r>
    </w:p>
    <w:p w:rsidR="00715A60" w:rsidRDefault="00425BF1" w:rsidP="00425BF1">
      <w:pPr>
        <w:pStyle w:val="NoSpacing"/>
        <w:ind w:left="-270" w:right="-360"/>
        <w:rPr>
          <w:rFonts w:asciiTheme="minorHAnsi" w:hAnsiTheme="minorHAnsi"/>
          <w:szCs w:val="24"/>
        </w:rPr>
      </w:pPr>
      <w:r>
        <w:rPr>
          <w:rFonts w:asciiTheme="minorHAnsi" w:hAnsiTheme="minorHAnsi"/>
          <w:szCs w:val="24"/>
        </w:rPr>
        <w:t>We are current wi</w:t>
      </w:r>
      <w:r w:rsidR="00F32AB7">
        <w:rPr>
          <w:rFonts w:asciiTheme="minorHAnsi" w:hAnsiTheme="minorHAnsi"/>
          <w:szCs w:val="24"/>
        </w:rPr>
        <w:t xml:space="preserve">th all bills and bank deposits. </w:t>
      </w:r>
    </w:p>
    <w:p w:rsidR="00715A60" w:rsidRPr="00715A60" w:rsidRDefault="00715A60" w:rsidP="00425BF1">
      <w:pPr>
        <w:pStyle w:val="NoSpacing"/>
        <w:ind w:left="-270" w:right="-360"/>
        <w:rPr>
          <w:rFonts w:asciiTheme="minorHAnsi" w:hAnsiTheme="minorHAnsi"/>
          <w:sz w:val="8"/>
          <w:szCs w:val="8"/>
        </w:rPr>
      </w:pPr>
    </w:p>
    <w:p w:rsidR="00425BF1" w:rsidRDefault="00715A60" w:rsidP="00425BF1">
      <w:pPr>
        <w:pStyle w:val="NoSpacing"/>
        <w:ind w:left="-270" w:right="-360"/>
        <w:rPr>
          <w:rFonts w:asciiTheme="minorHAnsi" w:hAnsiTheme="minorHAnsi"/>
          <w:szCs w:val="24"/>
        </w:rPr>
      </w:pPr>
      <w:r>
        <w:rPr>
          <w:rFonts w:asciiTheme="minorHAnsi" w:hAnsiTheme="minorHAnsi"/>
          <w:szCs w:val="24"/>
        </w:rPr>
        <w:t>The increase in the bottom line between th</w:t>
      </w:r>
      <w:r w:rsidR="00485CE4">
        <w:rPr>
          <w:rFonts w:asciiTheme="minorHAnsi" w:hAnsiTheme="minorHAnsi"/>
          <w:szCs w:val="24"/>
        </w:rPr>
        <w:t>is year and last comes</w:t>
      </w:r>
      <w:r>
        <w:rPr>
          <w:rFonts w:asciiTheme="minorHAnsi" w:hAnsiTheme="minorHAnsi"/>
          <w:szCs w:val="24"/>
        </w:rPr>
        <w:t xml:space="preserve"> from the increase in dues. </w:t>
      </w:r>
      <w:r w:rsidR="00485CE4">
        <w:rPr>
          <w:rFonts w:asciiTheme="minorHAnsi" w:hAnsiTheme="minorHAnsi"/>
          <w:szCs w:val="24"/>
        </w:rPr>
        <w:t xml:space="preserve">At this time, all </w:t>
      </w:r>
      <w:r w:rsidR="00242310">
        <w:rPr>
          <w:rFonts w:asciiTheme="minorHAnsi" w:hAnsiTheme="minorHAnsi"/>
          <w:szCs w:val="24"/>
        </w:rPr>
        <w:t xml:space="preserve">member </w:t>
      </w:r>
      <w:r w:rsidR="00485CE4">
        <w:rPr>
          <w:rFonts w:asciiTheme="minorHAnsi" w:hAnsiTheme="minorHAnsi"/>
          <w:szCs w:val="24"/>
        </w:rPr>
        <w:t xml:space="preserve">dues and fees invoiced last November have been collected. </w:t>
      </w:r>
      <w:r w:rsidR="00F32AB7">
        <w:rPr>
          <w:rFonts w:asciiTheme="minorHAnsi" w:hAnsiTheme="minorHAnsi"/>
          <w:szCs w:val="24"/>
        </w:rPr>
        <w:t xml:space="preserve"> </w:t>
      </w:r>
    </w:p>
    <w:p w:rsidR="00425BF1" w:rsidRPr="00956F29" w:rsidRDefault="00425BF1" w:rsidP="00425BF1">
      <w:pPr>
        <w:pStyle w:val="NoSpacing"/>
        <w:ind w:left="-270" w:right="-360"/>
        <w:rPr>
          <w:rFonts w:asciiTheme="minorHAnsi" w:hAnsiTheme="minorHAnsi"/>
          <w:sz w:val="8"/>
          <w:szCs w:val="8"/>
        </w:rPr>
      </w:pPr>
    </w:p>
    <w:p w:rsidR="006C59D8" w:rsidRDefault="00485CE4" w:rsidP="00425BF1">
      <w:pPr>
        <w:pStyle w:val="NoSpacing"/>
        <w:ind w:left="-270" w:right="-360"/>
        <w:rPr>
          <w:rFonts w:asciiTheme="minorHAnsi" w:hAnsiTheme="minorHAnsi"/>
          <w:szCs w:val="24"/>
        </w:rPr>
      </w:pPr>
      <w:r>
        <w:rPr>
          <w:rFonts w:asciiTheme="minorHAnsi" w:hAnsiTheme="minorHAnsi"/>
          <w:szCs w:val="24"/>
        </w:rPr>
        <w:t>F</w:t>
      </w:r>
      <w:r w:rsidR="00F32AB7">
        <w:rPr>
          <w:rFonts w:asciiTheme="minorHAnsi" w:hAnsiTheme="minorHAnsi"/>
          <w:szCs w:val="24"/>
        </w:rPr>
        <w:t xml:space="preserve">uel sales </w:t>
      </w:r>
      <w:r>
        <w:rPr>
          <w:rFonts w:asciiTheme="minorHAnsi" w:hAnsiTheme="minorHAnsi"/>
          <w:szCs w:val="24"/>
        </w:rPr>
        <w:t>this year have been impacted by the cold</w:t>
      </w:r>
      <w:r w:rsidR="008F4C10">
        <w:rPr>
          <w:rFonts w:asciiTheme="minorHAnsi" w:hAnsiTheme="minorHAnsi"/>
          <w:szCs w:val="24"/>
        </w:rPr>
        <w:t>, wet</w:t>
      </w:r>
      <w:r>
        <w:rPr>
          <w:rFonts w:asciiTheme="minorHAnsi" w:hAnsiTheme="minorHAnsi"/>
          <w:szCs w:val="24"/>
        </w:rPr>
        <w:t xml:space="preserve"> weather in April and May but seem to be picking up. </w:t>
      </w:r>
      <w:r w:rsidR="00F32AB7">
        <w:rPr>
          <w:rFonts w:asciiTheme="minorHAnsi" w:hAnsiTheme="minorHAnsi"/>
          <w:szCs w:val="24"/>
        </w:rPr>
        <w:t>The ongoing updates to the kitchen and the dockhouse are being treated as facilities improvements so the</w:t>
      </w:r>
      <w:r w:rsidR="00715A60">
        <w:rPr>
          <w:rFonts w:asciiTheme="minorHAnsi" w:hAnsiTheme="minorHAnsi"/>
          <w:szCs w:val="24"/>
        </w:rPr>
        <w:t>y do not show up in Repairs &amp;</w:t>
      </w:r>
      <w:r w:rsidR="00F32AB7">
        <w:rPr>
          <w:rFonts w:asciiTheme="minorHAnsi" w:hAnsiTheme="minorHAnsi"/>
          <w:szCs w:val="24"/>
        </w:rPr>
        <w:t xml:space="preserve"> Maintenance. </w:t>
      </w:r>
      <w:r w:rsidR="008F4C10">
        <w:rPr>
          <w:rFonts w:asciiTheme="minorHAnsi" w:hAnsiTheme="minorHAnsi"/>
          <w:szCs w:val="24"/>
        </w:rPr>
        <w:t xml:space="preserve">I will report on those next month. </w:t>
      </w:r>
      <w:r w:rsidR="00B11B00">
        <w:rPr>
          <w:rFonts w:asciiTheme="minorHAnsi" w:hAnsiTheme="minorHAnsi"/>
          <w:szCs w:val="24"/>
        </w:rPr>
        <w:t>Payroll is higher so far this year because we started Jerry a month earlier. Other expenses are more or less in line with last year.</w:t>
      </w:r>
    </w:p>
    <w:p w:rsidR="00425BF1" w:rsidRPr="004477A7" w:rsidRDefault="00425BF1" w:rsidP="00425BF1">
      <w:pPr>
        <w:pStyle w:val="NoSpacing"/>
        <w:spacing w:before="120"/>
        <w:ind w:left="-274" w:right="-360"/>
        <w:rPr>
          <w:rFonts w:asciiTheme="minorHAnsi" w:hAnsiTheme="minorHAnsi"/>
          <w:b/>
          <w:szCs w:val="24"/>
        </w:rPr>
      </w:pPr>
      <w:r>
        <w:rPr>
          <w:rFonts w:asciiTheme="minorHAnsi" w:hAnsiTheme="minorHAnsi"/>
          <w:b/>
          <w:szCs w:val="24"/>
        </w:rPr>
        <w:t>Statement of Financial Position (</w:t>
      </w:r>
      <w:r w:rsidRPr="004477A7">
        <w:rPr>
          <w:rFonts w:asciiTheme="minorHAnsi" w:hAnsiTheme="minorHAnsi"/>
          <w:b/>
          <w:szCs w:val="24"/>
        </w:rPr>
        <w:t>Balance Sheet</w:t>
      </w:r>
      <w:r>
        <w:rPr>
          <w:rFonts w:asciiTheme="minorHAnsi" w:hAnsiTheme="minorHAnsi"/>
          <w:b/>
          <w:szCs w:val="24"/>
        </w:rPr>
        <w:t>)</w:t>
      </w:r>
      <w:r w:rsidRPr="004477A7">
        <w:rPr>
          <w:rFonts w:asciiTheme="minorHAnsi" w:hAnsiTheme="minorHAnsi"/>
          <w:b/>
          <w:szCs w:val="24"/>
        </w:rPr>
        <w:t>:</w:t>
      </w:r>
    </w:p>
    <w:p w:rsidR="00425BF1" w:rsidRPr="00956F29" w:rsidRDefault="00425BF1" w:rsidP="00425BF1">
      <w:pPr>
        <w:pStyle w:val="NoSpacing"/>
        <w:ind w:left="-274" w:right="-360"/>
        <w:rPr>
          <w:rFonts w:asciiTheme="minorHAnsi" w:hAnsiTheme="minorHAnsi"/>
          <w:sz w:val="8"/>
          <w:szCs w:val="8"/>
        </w:rPr>
      </w:pPr>
      <w:r>
        <w:rPr>
          <w:rFonts w:asciiTheme="minorHAnsi" w:hAnsiTheme="minorHAnsi"/>
          <w:szCs w:val="24"/>
        </w:rPr>
        <w:t>The Federa</w:t>
      </w:r>
      <w:r w:rsidR="00EA037B">
        <w:rPr>
          <w:rFonts w:asciiTheme="minorHAnsi" w:hAnsiTheme="minorHAnsi"/>
          <w:szCs w:val="24"/>
        </w:rPr>
        <w:t>l Savings Bank checking account</w:t>
      </w:r>
      <w:r w:rsidR="006C59D8">
        <w:rPr>
          <w:rFonts w:asciiTheme="minorHAnsi" w:hAnsiTheme="minorHAnsi"/>
          <w:szCs w:val="24"/>
        </w:rPr>
        <w:t>,</w:t>
      </w:r>
      <w:r w:rsidR="00EA037B">
        <w:rPr>
          <w:rFonts w:asciiTheme="minorHAnsi" w:hAnsiTheme="minorHAnsi"/>
          <w:szCs w:val="24"/>
        </w:rPr>
        <w:t xml:space="preserve"> </w:t>
      </w:r>
      <w:r>
        <w:rPr>
          <w:rFonts w:asciiTheme="minorHAnsi" w:hAnsiTheme="minorHAnsi"/>
          <w:szCs w:val="24"/>
        </w:rPr>
        <w:t xml:space="preserve">the FSB savings account </w:t>
      </w:r>
      <w:r w:rsidR="006C59D8">
        <w:rPr>
          <w:rFonts w:asciiTheme="minorHAnsi" w:hAnsiTheme="minorHAnsi"/>
          <w:szCs w:val="24"/>
        </w:rPr>
        <w:t>and the Citizen’s payroll accou</w:t>
      </w:r>
      <w:r w:rsidR="00B11B00">
        <w:rPr>
          <w:rFonts w:asciiTheme="minorHAnsi" w:hAnsiTheme="minorHAnsi"/>
          <w:szCs w:val="24"/>
        </w:rPr>
        <w:t>nt are reconciled as of May 31</w:t>
      </w:r>
      <w:r w:rsidR="003B182F">
        <w:rPr>
          <w:rFonts w:asciiTheme="minorHAnsi" w:hAnsiTheme="minorHAnsi"/>
          <w:szCs w:val="24"/>
        </w:rPr>
        <w:t xml:space="preserve">. </w:t>
      </w:r>
      <w:r w:rsidR="00EA037B">
        <w:rPr>
          <w:rFonts w:asciiTheme="minorHAnsi" w:hAnsiTheme="minorHAnsi"/>
          <w:szCs w:val="24"/>
        </w:rPr>
        <w:t xml:space="preserve"> </w:t>
      </w:r>
      <w:r w:rsidR="003B182F">
        <w:rPr>
          <w:rFonts w:asciiTheme="minorHAnsi" w:hAnsiTheme="minorHAnsi"/>
          <w:szCs w:val="24"/>
        </w:rPr>
        <w:t>T</w:t>
      </w:r>
      <w:r>
        <w:rPr>
          <w:rFonts w:asciiTheme="minorHAnsi" w:hAnsiTheme="minorHAnsi"/>
          <w:szCs w:val="24"/>
        </w:rPr>
        <w:t xml:space="preserve">he Kennebunk Savings account </w:t>
      </w:r>
      <w:r w:rsidR="003B182F">
        <w:rPr>
          <w:rFonts w:asciiTheme="minorHAnsi" w:hAnsiTheme="minorHAnsi"/>
          <w:szCs w:val="24"/>
        </w:rPr>
        <w:t>is</w:t>
      </w:r>
      <w:r>
        <w:rPr>
          <w:rFonts w:asciiTheme="minorHAnsi" w:hAnsiTheme="minorHAnsi"/>
          <w:szCs w:val="24"/>
        </w:rPr>
        <w:t xml:space="preserve"> reconciled as of December 31</w:t>
      </w:r>
      <w:r w:rsidR="00CA23A7">
        <w:rPr>
          <w:rFonts w:asciiTheme="minorHAnsi" w:hAnsiTheme="minorHAnsi"/>
          <w:szCs w:val="24"/>
        </w:rPr>
        <w:t xml:space="preserve"> but the entries are up to date</w:t>
      </w:r>
      <w:r>
        <w:rPr>
          <w:rFonts w:asciiTheme="minorHAnsi" w:hAnsiTheme="minorHAnsi"/>
          <w:szCs w:val="24"/>
        </w:rPr>
        <w:t xml:space="preserve">. </w:t>
      </w:r>
      <w:r w:rsidR="00A925EE">
        <w:rPr>
          <w:rFonts w:asciiTheme="minorHAnsi" w:hAnsiTheme="minorHAnsi"/>
          <w:szCs w:val="24"/>
        </w:rPr>
        <w:t>We have about $40,000 more in the bank than last year.</w:t>
      </w:r>
    </w:p>
    <w:p w:rsidR="00792B8A" w:rsidRPr="00792B8A" w:rsidRDefault="00792B8A" w:rsidP="00425BF1">
      <w:pPr>
        <w:pStyle w:val="NoSpacing"/>
        <w:ind w:left="-274" w:right="-360"/>
        <w:rPr>
          <w:rFonts w:asciiTheme="minorHAnsi" w:hAnsiTheme="minorHAnsi"/>
          <w:sz w:val="8"/>
          <w:szCs w:val="8"/>
        </w:rPr>
      </w:pPr>
    </w:p>
    <w:p w:rsidR="00425BF1" w:rsidRDefault="00425BF1" w:rsidP="00425BF1">
      <w:pPr>
        <w:pStyle w:val="NoSpacing"/>
        <w:ind w:left="-274" w:right="-360"/>
        <w:rPr>
          <w:rFonts w:asciiTheme="minorHAnsi" w:hAnsiTheme="minorHAnsi"/>
          <w:szCs w:val="24"/>
        </w:rPr>
      </w:pPr>
      <w:r>
        <w:rPr>
          <w:rFonts w:asciiTheme="minorHAnsi" w:hAnsiTheme="minorHAnsi"/>
          <w:szCs w:val="24"/>
        </w:rPr>
        <w:t>On the liabilities side, our mortgage loan pr</w:t>
      </w:r>
      <w:r w:rsidR="00E22D32">
        <w:rPr>
          <w:rFonts w:asciiTheme="minorHAnsi" w:hAnsiTheme="minorHAnsi"/>
          <w:szCs w:val="24"/>
        </w:rPr>
        <w:t>incipal is down below $19</w:t>
      </w:r>
      <w:r>
        <w:rPr>
          <w:rFonts w:asciiTheme="minorHAnsi" w:hAnsiTheme="minorHAnsi"/>
          <w:szCs w:val="24"/>
        </w:rPr>
        <w:t>,000. That loan will be completely paid off in December of 2017.</w:t>
      </w:r>
    </w:p>
    <w:p w:rsidR="00956F29" w:rsidRPr="00956F29" w:rsidRDefault="00956F29" w:rsidP="004659BD">
      <w:pPr>
        <w:pStyle w:val="NoSpacing"/>
        <w:ind w:left="-270" w:right="-360"/>
        <w:rPr>
          <w:rFonts w:asciiTheme="minorHAnsi" w:hAnsiTheme="minorHAnsi"/>
          <w:sz w:val="8"/>
          <w:szCs w:val="8"/>
        </w:rPr>
      </w:pPr>
    </w:p>
    <w:p w:rsidR="00027B26" w:rsidRPr="004477A7" w:rsidRDefault="00027B26" w:rsidP="00027B26">
      <w:pPr>
        <w:pStyle w:val="NoSpacing"/>
        <w:spacing w:before="120"/>
        <w:ind w:left="-274" w:right="-360"/>
        <w:rPr>
          <w:rFonts w:asciiTheme="minorHAnsi" w:hAnsiTheme="minorHAnsi"/>
          <w:b/>
          <w:szCs w:val="24"/>
        </w:rPr>
      </w:pPr>
      <w:r>
        <w:rPr>
          <w:rFonts w:asciiTheme="minorHAnsi" w:hAnsiTheme="minorHAnsi"/>
          <w:b/>
          <w:szCs w:val="24"/>
        </w:rPr>
        <w:t>Point of Sale</w:t>
      </w:r>
      <w:r w:rsidRPr="004477A7">
        <w:rPr>
          <w:rFonts w:asciiTheme="minorHAnsi" w:hAnsiTheme="minorHAnsi"/>
          <w:b/>
          <w:szCs w:val="24"/>
        </w:rPr>
        <w:t>:</w:t>
      </w:r>
    </w:p>
    <w:p w:rsidR="00027B26" w:rsidRDefault="00BA1711" w:rsidP="00027B26">
      <w:pPr>
        <w:pStyle w:val="NoSpacing"/>
        <w:ind w:left="-274" w:right="-360"/>
        <w:rPr>
          <w:rFonts w:asciiTheme="minorHAnsi" w:hAnsiTheme="minorHAnsi"/>
          <w:szCs w:val="24"/>
        </w:rPr>
      </w:pPr>
      <w:r>
        <w:rPr>
          <w:rFonts w:asciiTheme="minorHAnsi" w:hAnsiTheme="minorHAnsi"/>
          <w:szCs w:val="24"/>
        </w:rPr>
        <w:t>Th</w:t>
      </w:r>
      <w:r w:rsidR="00E22D32">
        <w:rPr>
          <w:rFonts w:asciiTheme="minorHAnsi" w:hAnsiTheme="minorHAnsi"/>
          <w:szCs w:val="24"/>
        </w:rPr>
        <w:t xml:space="preserve">e Square terminal is in service although we are waiting for the dockhouse reconstruction to finish before we can bolt it into place. </w:t>
      </w:r>
      <w:r w:rsidR="008F4C10">
        <w:rPr>
          <w:rFonts w:asciiTheme="minorHAnsi" w:hAnsiTheme="minorHAnsi"/>
          <w:szCs w:val="24"/>
        </w:rPr>
        <w:t>I have developed a daily sales reporting procedure that I think will improve the details of reporting compared to last year</w:t>
      </w:r>
      <w:r w:rsidR="00E22D32">
        <w:rPr>
          <w:rFonts w:asciiTheme="minorHAnsi" w:hAnsiTheme="minorHAnsi"/>
          <w:szCs w:val="24"/>
        </w:rPr>
        <w:t>.</w:t>
      </w:r>
      <w:r>
        <w:rPr>
          <w:rFonts w:asciiTheme="minorHAnsi" w:hAnsiTheme="minorHAnsi"/>
          <w:szCs w:val="24"/>
        </w:rPr>
        <w:t xml:space="preserve"> </w:t>
      </w:r>
      <w:r w:rsidR="008F4C10">
        <w:rPr>
          <w:rFonts w:asciiTheme="minorHAnsi" w:hAnsiTheme="minorHAnsi"/>
          <w:szCs w:val="24"/>
        </w:rPr>
        <w:t xml:space="preserve">I’m working to improve and streamline it. At first the dockhands did not properly follow the end of day procedure which caused me some reconciliation headaches, but they are doing much better in the past week. I have a service ticket open with Square because there was one day when they did not deposit our money into the bank. </w:t>
      </w:r>
      <w:r w:rsidR="00502729">
        <w:rPr>
          <w:rFonts w:asciiTheme="minorHAnsi" w:hAnsiTheme="minorHAnsi"/>
          <w:szCs w:val="24"/>
        </w:rPr>
        <w:t xml:space="preserve">I find that omission a bit worrisome, but the audit trail is clear so I am hopeful it will be easily worked out. </w:t>
      </w:r>
    </w:p>
    <w:p w:rsidR="003516C0" w:rsidRPr="00242310" w:rsidRDefault="003516C0" w:rsidP="004659BD">
      <w:pPr>
        <w:pStyle w:val="NoSpacing"/>
        <w:ind w:left="-270" w:right="-360"/>
        <w:rPr>
          <w:rFonts w:asciiTheme="minorHAnsi" w:hAnsiTheme="minorHAnsi"/>
          <w:sz w:val="16"/>
          <w:szCs w:val="16"/>
        </w:rPr>
      </w:pPr>
    </w:p>
    <w:p w:rsidR="006B589C" w:rsidRDefault="006B589C" w:rsidP="004659BD">
      <w:pPr>
        <w:pStyle w:val="NoSpacing"/>
        <w:ind w:left="-270" w:right="-360"/>
        <w:rPr>
          <w:rFonts w:asciiTheme="minorHAnsi" w:hAnsiTheme="minorHAnsi"/>
          <w:szCs w:val="24"/>
        </w:rPr>
      </w:pPr>
      <w:r>
        <w:rPr>
          <w:rFonts w:asciiTheme="minorHAnsi" w:hAnsiTheme="minorHAnsi"/>
          <w:szCs w:val="24"/>
        </w:rPr>
        <w:t>Respectfully submitted,</w:t>
      </w:r>
    </w:p>
    <w:p w:rsidR="00295E50" w:rsidRPr="003A2ED1" w:rsidRDefault="006B589C" w:rsidP="003A2ED1">
      <w:pPr>
        <w:pStyle w:val="NoSpacing"/>
        <w:ind w:left="-270" w:right="-360"/>
        <w:rPr>
          <w:rFonts w:asciiTheme="minorHAnsi" w:hAnsiTheme="minorHAnsi"/>
          <w:szCs w:val="24"/>
        </w:rPr>
      </w:pPr>
      <w:r>
        <w:rPr>
          <w:rFonts w:asciiTheme="minorHAnsi" w:hAnsiTheme="minorHAnsi"/>
          <w:szCs w:val="24"/>
        </w:rPr>
        <w:t>Doyle Skeels, Treasurer</w:t>
      </w:r>
    </w:p>
    <w:sectPr w:rsidR="00295E50" w:rsidRPr="003A2ED1" w:rsidSect="004659BD">
      <w:pgSz w:w="12240" w:h="15840"/>
      <w:pgMar w:top="720" w:right="108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315A0"/>
    <w:multiLevelType w:val="hybridMultilevel"/>
    <w:tmpl w:val="5890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B306EE"/>
    <w:multiLevelType w:val="hybridMultilevel"/>
    <w:tmpl w:val="0552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D00E0E"/>
    <w:multiLevelType w:val="hybridMultilevel"/>
    <w:tmpl w:val="D4149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CE3087"/>
    <w:multiLevelType w:val="hybridMultilevel"/>
    <w:tmpl w:val="D23CC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9651FB"/>
    <w:multiLevelType w:val="hybridMultilevel"/>
    <w:tmpl w:val="95E035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713E268D"/>
    <w:multiLevelType w:val="hybridMultilevel"/>
    <w:tmpl w:val="335C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72"/>
    <w:rsid w:val="000027EF"/>
    <w:rsid w:val="00011790"/>
    <w:rsid w:val="00015A92"/>
    <w:rsid w:val="0002342A"/>
    <w:rsid w:val="00027B26"/>
    <w:rsid w:val="00027D18"/>
    <w:rsid w:val="00041D39"/>
    <w:rsid w:val="00056B0B"/>
    <w:rsid w:val="000605E8"/>
    <w:rsid w:val="00061877"/>
    <w:rsid w:val="0006322D"/>
    <w:rsid w:val="0006687C"/>
    <w:rsid w:val="00082D2E"/>
    <w:rsid w:val="000923E5"/>
    <w:rsid w:val="000B0B04"/>
    <w:rsid w:val="000F42FD"/>
    <w:rsid w:val="000F6941"/>
    <w:rsid w:val="0010265A"/>
    <w:rsid w:val="001078A9"/>
    <w:rsid w:val="001134F5"/>
    <w:rsid w:val="001147BF"/>
    <w:rsid w:val="00120570"/>
    <w:rsid w:val="0012243E"/>
    <w:rsid w:val="00123734"/>
    <w:rsid w:val="00140756"/>
    <w:rsid w:val="00157A86"/>
    <w:rsid w:val="00164F9B"/>
    <w:rsid w:val="001650F6"/>
    <w:rsid w:val="00170020"/>
    <w:rsid w:val="00176194"/>
    <w:rsid w:val="00180867"/>
    <w:rsid w:val="00186305"/>
    <w:rsid w:val="001A7F4E"/>
    <w:rsid w:val="001B0F19"/>
    <w:rsid w:val="001B61EE"/>
    <w:rsid w:val="001B63BE"/>
    <w:rsid w:val="001C4A85"/>
    <w:rsid w:val="001C73A6"/>
    <w:rsid w:val="001D46A9"/>
    <w:rsid w:val="001E447E"/>
    <w:rsid w:val="00204B50"/>
    <w:rsid w:val="00222843"/>
    <w:rsid w:val="00234E94"/>
    <w:rsid w:val="002416A5"/>
    <w:rsid w:val="00242310"/>
    <w:rsid w:val="002575BE"/>
    <w:rsid w:val="00260F65"/>
    <w:rsid w:val="0026355D"/>
    <w:rsid w:val="0027092A"/>
    <w:rsid w:val="002871AE"/>
    <w:rsid w:val="00295E50"/>
    <w:rsid w:val="002A0BB2"/>
    <w:rsid w:val="002D075A"/>
    <w:rsid w:val="00307EE9"/>
    <w:rsid w:val="00325A7F"/>
    <w:rsid w:val="003516C0"/>
    <w:rsid w:val="003540C6"/>
    <w:rsid w:val="00355F07"/>
    <w:rsid w:val="00356944"/>
    <w:rsid w:val="00360638"/>
    <w:rsid w:val="00360B03"/>
    <w:rsid w:val="00362C82"/>
    <w:rsid w:val="00366EC8"/>
    <w:rsid w:val="0037227A"/>
    <w:rsid w:val="00380CBC"/>
    <w:rsid w:val="00380E77"/>
    <w:rsid w:val="00382D30"/>
    <w:rsid w:val="00390533"/>
    <w:rsid w:val="003A2ED1"/>
    <w:rsid w:val="003A375D"/>
    <w:rsid w:val="003A6E7F"/>
    <w:rsid w:val="003B182F"/>
    <w:rsid w:val="003B25A0"/>
    <w:rsid w:val="003C7F6B"/>
    <w:rsid w:val="003D0562"/>
    <w:rsid w:val="003D461E"/>
    <w:rsid w:val="003D5A49"/>
    <w:rsid w:val="003E353C"/>
    <w:rsid w:val="00410A6C"/>
    <w:rsid w:val="004238A8"/>
    <w:rsid w:val="00425BF1"/>
    <w:rsid w:val="00434C5F"/>
    <w:rsid w:val="00445D13"/>
    <w:rsid w:val="004477A7"/>
    <w:rsid w:val="004506C1"/>
    <w:rsid w:val="0046188A"/>
    <w:rsid w:val="004659BD"/>
    <w:rsid w:val="004677F1"/>
    <w:rsid w:val="004736E0"/>
    <w:rsid w:val="00485CE4"/>
    <w:rsid w:val="00491674"/>
    <w:rsid w:val="004918F8"/>
    <w:rsid w:val="004963A6"/>
    <w:rsid w:val="004B3105"/>
    <w:rsid w:val="004C7021"/>
    <w:rsid w:val="004E2044"/>
    <w:rsid w:val="004E6595"/>
    <w:rsid w:val="004F48F0"/>
    <w:rsid w:val="004F4B2D"/>
    <w:rsid w:val="00500BDD"/>
    <w:rsid w:val="00502729"/>
    <w:rsid w:val="0050707F"/>
    <w:rsid w:val="00513606"/>
    <w:rsid w:val="00545F44"/>
    <w:rsid w:val="00552792"/>
    <w:rsid w:val="0055338A"/>
    <w:rsid w:val="00555047"/>
    <w:rsid w:val="00555C8B"/>
    <w:rsid w:val="00561DA2"/>
    <w:rsid w:val="005661AD"/>
    <w:rsid w:val="00584222"/>
    <w:rsid w:val="0059334E"/>
    <w:rsid w:val="00595738"/>
    <w:rsid w:val="00596594"/>
    <w:rsid w:val="005A08F4"/>
    <w:rsid w:val="005B6F54"/>
    <w:rsid w:val="005C65C5"/>
    <w:rsid w:val="005E1F15"/>
    <w:rsid w:val="005F06BD"/>
    <w:rsid w:val="005F1FA4"/>
    <w:rsid w:val="00606638"/>
    <w:rsid w:val="00611602"/>
    <w:rsid w:val="00614A31"/>
    <w:rsid w:val="0062131A"/>
    <w:rsid w:val="006220BA"/>
    <w:rsid w:val="00632395"/>
    <w:rsid w:val="006465A5"/>
    <w:rsid w:val="00650AF3"/>
    <w:rsid w:val="0065124C"/>
    <w:rsid w:val="00660199"/>
    <w:rsid w:val="00660B4C"/>
    <w:rsid w:val="00662378"/>
    <w:rsid w:val="00662D5C"/>
    <w:rsid w:val="0067392A"/>
    <w:rsid w:val="00675575"/>
    <w:rsid w:val="0068123D"/>
    <w:rsid w:val="00681985"/>
    <w:rsid w:val="00681D03"/>
    <w:rsid w:val="00681ECB"/>
    <w:rsid w:val="006A793B"/>
    <w:rsid w:val="006A7CE6"/>
    <w:rsid w:val="006B589C"/>
    <w:rsid w:val="006C59D8"/>
    <w:rsid w:val="006D2511"/>
    <w:rsid w:val="006D68E4"/>
    <w:rsid w:val="006F1E05"/>
    <w:rsid w:val="00700547"/>
    <w:rsid w:val="00700A1C"/>
    <w:rsid w:val="00713918"/>
    <w:rsid w:val="00715A60"/>
    <w:rsid w:val="00722C7F"/>
    <w:rsid w:val="007514C5"/>
    <w:rsid w:val="00755F70"/>
    <w:rsid w:val="00762A26"/>
    <w:rsid w:val="00764816"/>
    <w:rsid w:val="0076608F"/>
    <w:rsid w:val="0078518B"/>
    <w:rsid w:val="00790C83"/>
    <w:rsid w:val="00792B8A"/>
    <w:rsid w:val="00795096"/>
    <w:rsid w:val="007A2E1E"/>
    <w:rsid w:val="007C3593"/>
    <w:rsid w:val="007C47A7"/>
    <w:rsid w:val="007C5748"/>
    <w:rsid w:val="007C79D0"/>
    <w:rsid w:val="007D2C53"/>
    <w:rsid w:val="007D5BDE"/>
    <w:rsid w:val="007F011C"/>
    <w:rsid w:val="007F6200"/>
    <w:rsid w:val="007F7268"/>
    <w:rsid w:val="0081071B"/>
    <w:rsid w:val="00810C71"/>
    <w:rsid w:val="00814328"/>
    <w:rsid w:val="0081632F"/>
    <w:rsid w:val="008250DB"/>
    <w:rsid w:val="0083379B"/>
    <w:rsid w:val="00851E88"/>
    <w:rsid w:val="00852771"/>
    <w:rsid w:val="00865A23"/>
    <w:rsid w:val="00882460"/>
    <w:rsid w:val="0089097C"/>
    <w:rsid w:val="008A6692"/>
    <w:rsid w:val="008A7C8C"/>
    <w:rsid w:val="008B34E3"/>
    <w:rsid w:val="008C4E9B"/>
    <w:rsid w:val="008D50BE"/>
    <w:rsid w:val="008E4DF3"/>
    <w:rsid w:val="008E4FA5"/>
    <w:rsid w:val="008F209C"/>
    <w:rsid w:val="008F4C10"/>
    <w:rsid w:val="008F5D81"/>
    <w:rsid w:val="00904DDF"/>
    <w:rsid w:val="00912FC5"/>
    <w:rsid w:val="00927029"/>
    <w:rsid w:val="009334B7"/>
    <w:rsid w:val="00945803"/>
    <w:rsid w:val="009463A2"/>
    <w:rsid w:val="009470DF"/>
    <w:rsid w:val="00952896"/>
    <w:rsid w:val="00956F29"/>
    <w:rsid w:val="0096335C"/>
    <w:rsid w:val="00963D1F"/>
    <w:rsid w:val="0096443B"/>
    <w:rsid w:val="00965A33"/>
    <w:rsid w:val="00965F48"/>
    <w:rsid w:val="00977B52"/>
    <w:rsid w:val="009804A3"/>
    <w:rsid w:val="009807B1"/>
    <w:rsid w:val="009B00A2"/>
    <w:rsid w:val="009B253B"/>
    <w:rsid w:val="009B2BF6"/>
    <w:rsid w:val="009B65B8"/>
    <w:rsid w:val="009C203A"/>
    <w:rsid w:val="009D5163"/>
    <w:rsid w:val="009D6C1C"/>
    <w:rsid w:val="009E314E"/>
    <w:rsid w:val="009E365A"/>
    <w:rsid w:val="009E4DC2"/>
    <w:rsid w:val="009F26C8"/>
    <w:rsid w:val="009F2C13"/>
    <w:rsid w:val="00A16416"/>
    <w:rsid w:val="00A24E9E"/>
    <w:rsid w:val="00A31FDC"/>
    <w:rsid w:val="00A3309C"/>
    <w:rsid w:val="00A36E22"/>
    <w:rsid w:val="00A41A76"/>
    <w:rsid w:val="00A70557"/>
    <w:rsid w:val="00A72386"/>
    <w:rsid w:val="00A7382D"/>
    <w:rsid w:val="00A814B7"/>
    <w:rsid w:val="00A83D4E"/>
    <w:rsid w:val="00A859FC"/>
    <w:rsid w:val="00A925EE"/>
    <w:rsid w:val="00A92812"/>
    <w:rsid w:val="00A9412F"/>
    <w:rsid w:val="00A95F40"/>
    <w:rsid w:val="00A97D75"/>
    <w:rsid w:val="00AA1AF0"/>
    <w:rsid w:val="00AB68F6"/>
    <w:rsid w:val="00AC00D8"/>
    <w:rsid w:val="00AD6574"/>
    <w:rsid w:val="00AF1A1B"/>
    <w:rsid w:val="00AF4A25"/>
    <w:rsid w:val="00AF4F38"/>
    <w:rsid w:val="00B0767E"/>
    <w:rsid w:val="00B11B00"/>
    <w:rsid w:val="00B133F5"/>
    <w:rsid w:val="00B13C75"/>
    <w:rsid w:val="00B25864"/>
    <w:rsid w:val="00B25FB4"/>
    <w:rsid w:val="00B2783D"/>
    <w:rsid w:val="00B27BE0"/>
    <w:rsid w:val="00B34015"/>
    <w:rsid w:val="00B425FE"/>
    <w:rsid w:val="00B42A19"/>
    <w:rsid w:val="00B44192"/>
    <w:rsid w:val="00B5136F"/>
    <w:rsid w:val="00B5524B"/>
    <w:rsid w:val="00B62FFB"/>
    <w:rsid w:val="00B707CF"/>
    <w:rsid w:val="00B9419E"/>
    <w:rsid w:val="00BA1711"/>
    <w:rsid w:val="00BA56C3"/>
    <w:rsid w:val="00BA6B81"/>
    <w:rsid w:val="00BB59CD"/>
    <w:rsid w:val="00BB6233"/>
    <w:rsid w:val="00BC58DC"/>
    <w:rsid w:val="00BE1315"/>
    <w:rsid w:val="00BE47FC"/>
    <w:rsid w:val="00BE7C7E"/>
    <w:rsid w:val="00BF4178"/>
    <w:rsid w:val="00BF5E42"/>
    <w:rsid w:val="00BF72BE"/>
    <w:rsid w:val="00C02CE7"/>
    <w:rsid w:val="00C03645"/>
    <w:rsid w:val="00C20611"/>
    <w:rsid w:val="00C31019"/>
    <w:rsid w:val="00C32B8E"/>
    <w:rsid w:val="00C419C8"/>
    <w:rsid w:val="00C477FE"/>
    <w:rsid w:val="00C54C74"/>
    <w:rsid w:val="00C54E5D"/>
    <w:rsid w:val="00C63BC3"/>
    <w:rsid w:val="00C77065"/>
    <w:rsid w:val="00C832C5"/>
    <w:rsid w:val="00C845DF"/>
    <w:rsid w:val="00C8537B"/>
    <w:rsid w:val="00C871C0"/>
    <w:rsid w:val="00CA2179"/>
    <w:rsid w:val="00CA23A7"/>
    <w:rsid w:val="00CA7378"/>
    <w:rsid w:val="00CC3AB3"/>
    <w:rsid w:val="00CD366E"/>
    <w:rsid w:val="00CD5787"/>
    <w:rsid w:val="00CD5964"/>
    <w:rsid w:val="00CD7B07"/>
    <w:rsid w:val="00CE3BF6"/>
    <w:rsid w:val="00CE60FF"/>
    <w:rsid w:val="00CE6DC4"/>
    <w:rsid w:val="00D03337"/>
    <w:rsid w:val="00D03FC7"/>
    <w:rsid w:val="00D071C3"/>
    <w:rsid w:val="00D20292"/>
    <w:rsid w:val="00D24976"/>
    <w:rsid w:val="00D33BEA"/>
    <w:rsid w:val="00D34FEC"/>
    <w:rsid w:val="00D42C72"/>
    <w:rsid w:val="00D57AC9"/>
    <w:rsid w:val="00D6519E"/>
    <w:rsid w:val="00D7462A"/>
    <w:rsid w:val="00DB62AB"/>
    <w:rsid w:val="00DE4F09"/>
    <w:rsid w:val="00DE7AB5"/>
    <w:rsid w:val="00DF3E73"/>
    <w:rsid w:val="00DF5C82"/>
    <w:rsid w:val="00E036D6"/>
    <w:rsid w:val="00E21735"/>
    <w:rsid w:val="00E22D32"/>
    <w:rsid w:val="00E22FCB"/>
    <w:rsid w:val="00E3799E"/>
    <w:rsid w:val="00E403B5"/>
    <w:rsid w:val="00E41BC0"/>
    <w:rsid w:val="00E451D6"/>
    <w:rsid w:val="00E527FC"/>
    <w:rsid w:val="00E5330D"/>
    <w:rsid w:val="00E644ED"/>
    <w:rsid w:val="00E777A5"/>
    <w:rsid w:val="00E94102"/>
    <w:rsid w:val="00E95EAD"/>
    <w:rsid w:val="00EA037B"/>
    <w:rsid w:val="00EA0A98"/>
    <w:rsid w:val="00EA1B78"/>
    <w:rsid w:val="00EA3466"/>
    <w:rsid w:val="00EB2CAD"/>
    <w:rsid w:val="00EB4DAE"/>
    <w:rsid w:val="00EE02B0"/>
    <w:rsid w:val="00EF1E87"/>
    <w:rsid w:val="00EF770F"/>
    <w:rsid w:val="00F21F9F"/>
    <w:rsid w:val="00F31344"/>
    <w:rsid w:val="00F32AB7"/>
    <w:rsid w:val="00F42754"/>
    <w:rsid w:val="00F52278"/>
    <w:rsid w:val="00F704D9"/>
    <w:rsid w:val="00F86BB2"/>
    <w:rsid w:val="00F86FF9"/>
    <w:rsid w:val="00FA1123"/>
    <w:rsid w:val="00FA7799"/>
    <w:rsid w:val="00FB46EC"/>
    <w:rsid w:val="00FD727B"/>
    <w:rsid w:val="00FE692E"/>
    <w:rsid w:val="00FE7D5C"/>
    <w:rsid w:val="00FF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574"/>
    <w:pPr>
      <w:spacing w:after="0" w:line="240" w:lineRule="auto"/>
    </w:pPr>
    <w:rPr>
      <w:rFonts w:ascii="Courier New" w:hAnsi="Courier New"/>
      <w:sz w:val="24"/>
    </w:rPr>
  </w:style>
  <w:style w:type="table" w:styleId="TableGrid">
    <w:name w:val="Table Grid"/>
    <w:basedOn w:val="TableNormal"/>
    <w:uiPriority w:val="59"/>
    <w:rsid w:val="0061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574"/>
    <w:pPr>
      <w:spacing w:after="0" w:line="240" w:lineRule="auto"/>
    </w:pPr>
    <w:rPr>
      <w:rFonts w:ascii="Courier New" w:hAnsi="Courier New"/>
      <w:sz w:val="24"/>
    </w:rPr>
  </w:style>
  <w:style w:type="table" w:styleId="TableGrid">
    <w:name w:val="Table Grid"/>
    <w:basedOn w:val="TableNormal"/>
    <w:uiPriority w:val="59"/>
    <w:rsid w:val="0061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David Wendell Associates</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4</cp:revision>
  <cp:lastPrinted>2016-05-11T19:04:00Z</cp:lastPrinted>
  <dcterms:created xsi:type="dcterms:W3CDTF">2016-06-08T19:05:00Z</dcterms:created>
  <dcterms:modified xsi:type="dcterms:W3CDTF">2016-06-08T20:15:00Z</dcterms:modified>
</cp:coreProperties>
</file>